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FAD1B" w14:textId="5BDD5DF1" w:rsidR="00451304" w:rsidRPr="005C5DA3" w:rsidRDefault="00875B65" w:rsidP="00451304">
      <w:pPr>
        <w:spacing w:before="100" w:beforeAutospacing="1" w:after="100" w:afterAutospacing="1" w:line="240" w:lineRule="auto"/>
        <w:jc w:val="center"/>
        <w:outlineLvl w:val="1"/>
        <w:rPr>
          <w:rFonts w:ascii="Arial" w:eastAsia="Times New Roman" w:hAnsi="Arial" w:cs="Arial"/>
          <w:b/>
          <w:bCs/>
          <w:color w:val="000000" w:themeColor="text1"/>
          <w:sz w:val="24"/>
          <w:szCs w:val="24"/>
          <w:lang w:eastAsia="en-GB"/>
        </w:rPr>
      </w:pPr>
      <w:r w:rsidRPr="005C5DA3">
        <w:rPr>
          <w:rFonts w:ascii="Arial" w:eastAsia="Times New Roman" w:hAnsi="Arial" w:cs="Arial"/>
          <w:b/>
          <w:bCs/>
          <w:color w:val="000000" w:themeColor="text1"/>
          <w:sz w:val="24"/>
          <w:szCs w:val="24"/>
          <w:lang w:eastAsia="en-GB"/>
        </w:rPr>
        <w:t xml:space="preserve">ELHT </w:t>
      </w:r>
      <w:r w:rsidR="00451304" w:rsidRPr="005C5DA3">
        <w:rPr>
          <w:rFonts w:ascii="Arial" w:eastAsia="Times New Roman" w:hAnsi="Arial" w:cs="Arial"/>
          <w:b/>
          <w:bCs/>
          <w:color w:val="000000" w:themeColor="text1"/>
          <w:sz w:val="24"/>
          <w:szCs w:val="24"/>
          <w:lang w:eastAsia="en-GB"/>
        </w:rPr>
        <w:t>National PLACE Assessment 202</w:t>
      </w:r>
      <w:r w:rsidR="001B5454">
        <w:rPr>
          <w:rFonts w:ascii="Arial" w:eastAsia="Times New Roman" w:hAnsi="Arial" w:cs="Arial"/>
          <w:b/>
          <w:bCs/>
          <w:color w:val="000000" w:themeColor="text1"/>
          <w:sz w:val="24"/>
          <w:szCs w:val="24"/>
          <w:lang w:eastAsia="en-GB"/>
        </w:rPr>
        <w:t>6</w:t>
      </w:r>
    </w:p>
    <w:p w14:paraId="4A9FC6CC" w14:textId="4B748989" w:rsidR="00451304" w:rsidRPr="005C5DA3" w:rsidRDefault="00451304" w:rsidP="00451304">
      <w:pPr>
        <w:spacing w:before="100" w:beforeAutospacing="1" w:after="100" w:afterAutospacing="1" w:line="240" w:lineRule="auto"/>
        <w:jc w:val="center"/>
        <w:outlineLvl w:val="1"/>
        <w:rPr>
          <w:rFonts w:ascii="Arial" w:eastAsia="Times New Roman" w:hAnsi="Arial" w:cs="Arial"/>
          <w:b/>
          <w:bCs/>
          <w:i/>
          <w:iCs/>
          <w:color w:val="000000" w:themeColor="text1"/>
          <w:sz w:val="24"/>
          <w:szCs w:val="24"/>
          <w:lang w:eastAsia="en-GB"/>
        </w:rPr>
      </w:pPr>
      <w:r w:rsidRPr="005C5DA3">
        <w:rPr>
          <w:rFonts w:ascii="Arial" w:eastAsia="Times New Roman" w:hAnsi="Arial" w:cs="Arial"/>
          <w:b/>
          <w:bCs/>
          <w:i/>
          <w:iCs/>
          <w:color w:val="000000" w:themeColor="text1"/>
          <w:sz w:val="24"/>
          <w:szCs w:val="24"/>
          <w:lang w:eastAsia="en-GB"/>
        </w:rPr>
        <w:t>(Patient Led Assessment of the Care Environment)</w:t>
      </w:r>
    </w:p>
    <w:p w14:paraId="5E3795E2" w14:textId="27D3083A" w:rsidR="00451304" w:rsidRDefault="004562A6" w:rsidP="00451304">
      <w:pPr>
        <w:spacing w:before="100" w:beforeAutospacing="1" w:after="100" w:afterAutospacing="1" w:line="240" w:lineRule="auto"/>
        <w:outlineLvl w:val="1"/>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Introduction</w:t>
      </w:r>
    </w:p>
    <w:p w14:paraId="20EBC442" w14:textId="68B97647" w:rsidR="004562A6" w:rsidRPr="005C5DA3" w:rsidRDefault="004562A6" w:rsidP="00451304">
      <w:pPr>
        <w:spacing w:before="100" w:beforeAutospacing="1" w:after="100" w:afterAutospacing="1" w:line="240" w:lineRule="auto"/>
        <w:outlineLvl w:val="1"/>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 xml:space="preserve">National PLACE Assessment </w:t>
      </w:r>
      <w:r w:rsidR="00E03A60">
        <w:rPr>
          <w:rFonts w:ascii="Arial" w:eastAsia="Times New Roman" w:hAnsi="Arial" w:cs="Arial"/>
          <w:b/>
          <w:bCs/>
          <w:color w:val="000000" w:themeColor="text1"/>
          <w:sz w:val="24"/>
          <w:szCs w:val="24"/>
          <w:lang w:eastAsia="en-GB"/>
        </w:rPr>
        <w:t>Annual assessment.</w:t>
      </w:r>
    </w:p>
    <w:p w14:paraId="1795FE5F" w14:textId="6166254F" w:rsidR="004562A6" w:rsidRPr="004562A6" w:rsidRDefault="004562A6" w:rsidP="00C179BF">
      <w:pPr>
        <w:pStyle w:val="BodyText2"/>
        <w:spacing w:line="276" w:lineRule="auto"/>
        <w:rPr>
          <w:rFonts w:cs="Arial"/>
        </w:rPr>
      </w:pPr>
      <w:r w:rsidRPr="004562A6">
        <w:rPr>
          <w:rFonts w:cs="Arial"/>
        </w:rPr>
        <w:t>Patient-led assessments of the care environment (PLACE) help organisations understand how well they are meeting the needs of their patients and identify where improvements can be made. They take place across NHS trusts, voluntary, independent, and private healthcare providers and use information gleaned directly from patient assessors to report how well a site/organisation is performing.</w:t>
      </w:r>
    </w:p>
    <w:p w14:paraId="704C45DF" w14:textId="77777777" w:rsidR="004562A6" w:rsidRPr="004562A6" w:rsidRDefault="004562A6" w:rsidP="00C179BF">
      <w:pPr>
        <w:pStyle w:val="BodyText2"/>
        <w:spacing w:line="276" w:lineRule="auto"/>
        <w:rPr>
          <w:rFonts w:cs="Arial"/>
          <w:color w:val="auto"/>
        </w:rPr>
      </w:pPr>
      <w:r w:rsidRPr="004562A6">
        <w:rPr>
          <w:rFonts w:cs="Arial"/>
          <w:color w:val="auto"/>
        </w:rPr>
        <w:t>PLACE is the only national assessment programme that collects data relating to the patient environment and the only process that provides a consistent approach so that all providers are assessing the same things to the same standards.</w:t>
      </w:r>
    </w:p>
    <w:p w14:paraId="3921612A" w14:textId="1A6D006E" w:rsidR="004562A6" w:rsidRPr="004562A6" w:rsidRDefault="004562A6" w:rsidP="00C179BF">
      <w:pPr>
        <w:pStyle w:val="BodyText2"/>
        <w:spacing w:line="276" w:lineRule="auto"/>
        <w:rPr>
          <w:rFonts w:cs="Arial"/>
        </w:rPr>
      </w:pPr>
      <w:r w:rsidRPr="004562A6">
        <w:rPr>
          <w:rFonts w:cs="Arial"/>
        </w:rPr>
        <w:t>PLACE helps organisations understand how well they are meeting the needs of their patients and identify where improvements can be made.</w:t>
      </w:r>
    </w:p>
    <w:p w14:paraId="0B501EF1" w14:textId="6B26F2D7" w:rsidR="004562A6" w:rsidRPr="004562A6" w:rsidRDefault="004562A6" w:rsidP="00C179BF">
      <w:pPr>
        <w:pStyle w:val="BodyText2"/>
        <w:spacing w:line="276" w:lineRule="auto"/>
        <w:rPr>
          <w:rFonts w:cs="Arial"/>
        </w:rPr>
      </w:pPr>
      <w:r w:rsidRPr="004562A6">
        <w:rPr>
          <w:rFonts w:cs="Arial"/>
        </w:rPr>
        <w:t>It is recommended that all NHS trusts, voluntary, independent, and private healthcare providers undertake annual PLACE assessments of the quality of non-clinical services and condition of their buildings to look at:</w:t>
      </w:r>
    </w:p>
    <w:p w14:paraId="41730EB7" w14:textId="77777777" w:rsidR="004562A6" w:rsidRPr="004562A6" w:rsidRDefault="004562A6" w:rsidP="00C179BF">
      <w:pPr>
        <w:tabs>
          <w:tab w:val="left" w:pos="2505"/>
        </w:tabs>
        <w:spacing w:after="200" w:line="276" w:lineRule="auto"/>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PLACE aims to promote the principles established by the NHS Constitution that focus on areas that matters to patients, families, and carers:</w:t>
      </w:r>
    </w:p>
    <w:p w14:paraId="76086BE7" w14:textId="77777777" w:rsidR="004562A6" w:rsidRPr="004562A6" w:rsidRDefault="004562A6" w:rsidP="00C179BF">
      <w:pPr>
        <w:numPr>
          <w:ilvl w:val="0"/>
          <w:numId w:val="2"/>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Putting patients first</w:t>
      </w:r>
    </w:p>
    <w:p w14:paraId="3C206C90" w14:textId="77777777" w:rsidR="004562A6" w:rsidRPr="004562A6" w:rsidRDefault="004562A6" w:rsidP="00C179BF">
      <w:pPr>
        <w:numPr>
          <w:ilvl w:val="0"/>
          <w:numId w:val="2"/>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Active feedback from public, patients and staff</w:t>
      </w:r>
    </w:p>
    <w:p w14:paraId="42F19CAA" w14:textId="77777777" w:rsidR="004562A6" w:rsidRPr="004562A6" w:rsidRDefault="004562A6" w:rsidP="00C179BF">
      <w:pPr>
        <w:numPr>
          <w:ilvl w:val="0"/>
          <w:numId w:val="2"/>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Adhering to the basics of quality care</w:t>
      </w:r>
    </w:p>
    <w:p w14:paraId="4A14031E" w14:textId="52BC3562" w:rsidR="004562A6" w:rsidRPr="004562A6" w:rsidRDefault="004562A6" w:rsidP="00C179BF">
      <w:pPr>
        <w:numPr>
          <w:ilvl w:val="0"/>
          <w:numId w:val="2"/>
        </w:numPr>
        <w:tabs>
          <w:tab w:val="left" w:pos="2505"/>
        </w:tabs>
        <w:spacing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Ensuring services are provided in a clean and safe environment that is fit for purpose.</w:t>
      </w:r>
    </w:p>
    <w:p w14:paraId="0024452B" w14:textId="77777777" w:rsidR="004562A6" w:rsidRPr="004562A6" w:rsidRDefault="004562A6" w:rsidP="00C179BF">
      <w:pPr>
        <w:tabs>
          <w:tab w:val="left" w:pos="2505"/>
        </w:tabs>
        <w:spacing w:line="276" w:lineRule="auto"/>
        <w:ind w:left="1267"/>
        <w:contextualSpacing/>
        <w:rPr>
          <w:rFonts w:ascii="Times New Roman" w:eastAsia="Times New Roman" w:hAnsi="Times New Roman" w:cs="Times New Roman"/>
          <w:sz w:val="24"/>
          <w:szCs w:val="24"/>
          <w:lang w:eastAsia="en-GB"/>
        </w:rPr>
      </w:pPr>
    </w:p>
    <w:p w14:paraId="7CC87C2C" w14:textId="77777777" w:rsidR="004562A6" w:rsidRPr="004562A6" w:rsidRDefault="004562A6" w:rsidP="00C179BF">
      <w:pPr>
        <w:tabs>
          <w:tab w:val="left" w:pos="2505"/>
        </w:tabs>
        <w:spacing w:after="200" w:line="276" w:lineRule="auto"/>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PLACE assesses a number of non- clinical aspects of the Healthcare premises identified as important to by the patients and public, known as Domains:</w:t>
      </w:r>
    </w:p>
    <w:p w14:paraId="3250A1DD" w14:textId="77777777" w:rsidR="004562A6" w:rsidRPr="004562A6" w:rsidRDefault="004562A6" w:rsidP="00C179BF">
      <w:pPr>
        <w:numPr>
          <w:ilvl w:val="0"/>
          <w:numId w:val="3"/>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Cleanliness</w:t>
      </w:r>
    </w:p>
    <w:p w14:paraId="5A5E7B1E" w14:textId="77777777" w:rsidR="004562A6" w:rsidRPr="004562A6" w:rsidRDefault="004562A6" w:rsidP="00C179BF">
      <w:pPr>
        <w:numPr>
          <w:ilvl w:val="0"/>
          <w:numId w:val="3"/>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Food and Hydration</w:t>
      </w:r>
    </w:p>
    <w:p w14:paraId="75A613F3" w14:textId="77777777" w:rsidR="004562A6" w:rsidRPr="004562A6" w:rsidRDefault="004562A6" w:rsidP="00C179BF">
      <w:pPr>
        <w:numPr>
          <w:ilvl w:val="0"/>
          <w:numId w:val="3"/>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Privacy, dignity, and wellbeing</w:t>
      </w:r>
    </w:p>
    <w:p w14:paraId="7F583A40" w14:textId="77777777" w:rsidR="004562A6" w:rsidRPr="004562A6" w:rsidRDefault="004562A6" w:rsidP="00C179BF">
      <w:pPr>
        <w:numPr>
          <w:ilvl w:val="0"/>
          <w:numId w:val="3"/>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Condition, appearance, and maintenance</w:t>
      </w:r>
    </w:p>
    <w:p w14:paraId="76BF9585" w14:textId="77777777" w:rsidR="004562A6" w:rsidRPr="004562A6" w:rsidRDefault="004562A6" w:rsidP="00C179BF">
      <w:pPr>
        <w:numPr>
          <w:ilvl w:val="0"/>
          <w:numId w:val="3"/>
        </w:numPr>
        <w:tabs>
          <w:tab w:val="left" w:pos="2505"/>
        </w:tabs>
        <w:spacing w:after="0"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Dementia: how well the needs of patients with Dementia are met</w:t>
      </w:r>
    </w:p>
    <w:p w14:paraId="2ED7FB4A" w14:textId="77777777" w:rsidR="004562A6" w:rsidRPr="004562A6" w:rsidRDefault="004562A6" w:rsidP="00C179BF">
      <w:pPr>
        <w:numPr>
          <w:ilvl w:val="0"/>
          <w:numId w:val="3"/>
        </w:numPr>
        <w:tabs>
          <w:tab w:val="left" w:pos="2505"/>
        </w:tabs>
        <w:spacing w:line="276" w:lineRule="auto"/>
        <w:ind w:left="1267"/>
        <w:contextualSpacing/>
        <w:rPr>
          <w:rFonts w:ascii="Times New Roman" w:eastAsia="Times New Roman" w:hAnsi="Times New Roman" w:cs="Times New Roman"/>
          <w:sz w:val="24"/>
          <w:szCs w:val="24"/>
          <w:lang w:eastAsia="en-GB"/>
        </w:rPr>
      </w:pPr>
      <w:r w:rsidRPr="004562A6">
        <w:rPr>
          <w:rFonts w:ascii="Arial" w:eastAsia="Calibri" w:hAnsi="Arial" w:cs="Times New Roman"/>
          <w:color w:val="000000"/>
          <w:kern w:val="24"/>
          <w:sz w:val="24"/>
          <w:szCs w:val="24"/>
          <w:lang w:eastAsia="en-GB"/>
        </w:rPr>
        <w:t>Disability: how well the needs of patients with a disability are met</w:t>
      </w:r>
    </w:p>
    <w:p w14:paraId="24929C94" w14:textId="77777777" w:rsidR="004562A6" w:rsidRPr="005C5DA3" w:rsidRDefault="004562A6" w:rsidP="00C179BF">
      <w:pPr>
        <w:spacing w:after="0" w:line="276" w:lineRule="auto"/>
        <w:rPr>
          <w:rFonts w:ascii="Arial" w:eastAsia="Times New Roman" w:hAnsi="Arial" w:cs="Arial"/>
          <w:color w:val="000000" w:themeColor="text1"/>
          <w:sz w:val="24"/>
          <w:szCs w:val="24"/>
          <w:lang w:eastAsia="en-GB"/>
        </w:rPr>
      </w:pPr>
    </w:p>
    <w:p w14:paraId="270855FD" w14:textId="77777777" w:rsidR="00451304" w:rsidRPr="005C5DA3" w:rsidRDefault="00000000" w:rsidP="00C179BF">
      <w:pPr>
        <w:spacing w:after="0" w:line="276"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pict w14:anchorId="215BEA48">
          <v:rect id="_x0000_i1025" style="width:712.5pt;height:1.5pt" o:hrpct="0" o:hralign="center" o:hrstd="t" o:hrnoshade="t" o:hr="t" fillcolor="#3f525f" stroked="f"/>
        </w:pict>
      </w:r>
    </w:p>
    <w:p w14:paraId="05D78C8D" w14:textId="45B87C88" w:rsidR="00451304" w:rsidRPr="005C5DA3" w:rsidRDefault="00451304" w:rsidP="00C179BF">
      <w:pPr>
        <w:spacing w:before="100" w:beforeAutospacing="1" w:after="100" w:afterAutospacing="1" w:line="276" w:lineRule="auto"/>
        <w:outlineLvl w:val="1"/>
        <w:rPr>
          <w:rFonts w:ascii="Arial" w:eastAsia="Times New Roman" w:hAnsi="Arial" w:cs="Arial"/>
          <w:b/>
          <w:bCs/>
          <w:color w:val="000000" w:themeColor="text1"/>
          <w:sz w:val="24"/>
          <w:szCs w:val="24"/>
          <w:lang w:eastAsia="en-GB"/>
        </w:rPr>
      </w:pPr>
      <w:r w:rsidRPr="005C5DA3">
        <w:rPr>
          <w:rFonts w:ascii="Arial" w:eastAsia="Times New Roman" w:hAnsi="Arial" w:cs="Arial"/>
          <w:b/>
          <w:bCs/>
          <w:color w:val="000000" w:themeColor="text1"/>
          <w:sz w:val="24"/>
          <w:szCs w:val="24"/>
          <w:lang w:eastAsia="en-GB"/>
        </w:rPr>
        <w:lastRenderedPageBreak/>
        <w:t>W</w:t>
      </w:r>
      <w:r w:rsidR="00875B65" w:rsidRPr="005C5DA3">
        <w:rPr>
          <w:rFonts w:ascii="Arial" w:eastAsia="Times New Roman" w:hAnsi="Arial" w:cs="Arial"/>
          <w:b/>
          <w:bCs/>
          <w:color w:val="000000" w:themeColor="text1"/>
          <w:sz w:val="24"/>
          <w:szCs w:val="24"/>
          <w:lang w:eastAsia="en-GB"/>
        </w:rPr>
        <w:t>ould you like</w:t>
      </w:r>
      <w:r w:rsidRPr="005C5DA3">
        <w:rPr>
          <w:rFonts w:ascii="Arial" w:eastAsia="Times New Roman" w:hAnsi="Arial" w:cs="Arial"/>
          <w:b/>
          <w:bCs/>
          <w:color w:val="000000" w:themeColor="text1"/>
          <w:sz w:val="24"/>
          <w:szCs w:val="24"/>
          <w:lang w:eastAsia="en-GB"/>
        </w:rPr>
        <w:t xml:space="preserve"> to be a patient assessor?</w:t>
      </w:r>
    </w:p>
    <w:p w14:paraId="3937B532" w14:textId="77777777" w:rsidR="00451304" w:rsidRPr="005C5DA3" w:rsidRDefault="00451304" w:rsidP="00C179BF">
      <w:pPr>
        <w:spacing w:before="100" w:beforeAutospacing="1" w:after="100" w:afterAutospacing="1" w:line="276" w:lineRule="auto"/>
        <w:rPr>
          <w:rFonts w:ascii="Arial" w:eastAsia="Times New Roman" w:hAnsi="Arial" w:cs="Arial"/>
          <w:color w:val="000000" w:themeColor="text1"/>
          <w:sz w:val="24"/>
          <w:szCs w:val="24"/>
          <w:lang w:eastAsia="en-GB"/>
        </w:rPr>
      </w:pPr>
      <w:r w:rsidRPr="005C5DA3">
        <w:rPr>
          <w:rFonts w:ascii="Arial" w:eastAsia="Times New Roman" w:hAnsi="Arial" w:cs="Arial"/>
          <w:color w:val="000000" w:themeColor="text1"/>
          <w:sz w:val="24"/>
          <w:szCs w:val="24"/>
          <w:lang w:eastAsia="en-GB"/>
        </w:rPr>
        <w:t>The assessments give patients and the public a voice that can be in the drive to give people more influence over the way their local health and care services are run and in the way in which they are held to account.</w:t>
      </w:r>
    </w:p>
    <w:p w14:paraId="292F0CF1" w14:textId="22CDD6E4" w:rsidR="00451304" w:rsidRPr="005C5DA3" w:rsidRDefault="00451304" w:rsidP="00C179BF">
      <w:pPr>
        <w:spacing w:before="100" w:beforeAutospacing="1" w:after="100" w:afterAutospacing="1" w:line="276" w:lineRule="auto"/>
        <w:rPr>
          <w:rFonts w:ascii="Arial" w:eastAsia="Times New Roman" w:hAnsi="Arial" w:cs="Arial"/>
          <w:color w:val="000000" w:themeColor="text1"/>
          <w:sz w:val="24"/>
          <w:szCs w:val="24"/>
          <w:lang w:eastAsia="en-GB"/>
        </w:rPr>
      </w:pPr>
      <w:r w:rsidRPr="005C5DA3">
        <w:rPr>
          <w:rFonts w:ascii="Arial" w:eastAsia="Times New Roman" w:hAnsi="Arial" w:cs="Arial"/>
          <w:color w:val="000000" w:themeColor="text1"/>
          <w:sz w:val="24"/>
          <w:szCs w:val="24"/>
          <w:lang w:eastAsia="en-GB"/>
        </w:rPr>
        <w:t xml:space="preserve">Assessment teams are a collaboration between staff and patient assessors, with patient assessors making up at least 50 per cent of the assessment team. Anyone who uses the service can be a patient assessor, including current patients, their family and visitors, carers, patient </w:t>
      </w:r>
      <w:r w:rsidR="00D17BA6" w:rsidRPr="005C5DA3">
        <w:rPr>
          <w:rFonts w:ascii="Arial" w:eastAsia="Times New Roman" w:hAnsi="Arial" w:cs="Arial"/>
          <w:color w:val="000000" w:themeColor="text1"/>
          <w:sz w:val="24"/>
          <w:szCs w:val="24"/>
          <w:lang w:eastAsia="en-GB"/>
        </w:rPr>
        <w:t>advocates,</w:t>
      </w:r>
      <w:r w:rsidRPr="005C5DA3">
        <w:rPr>
          <w:rFonts w:ascii="Arial" w:eastAsia="Times New Roman" w:hAnsi="Arial" w:cs="Arial"/>
          <w:color w:val="000000" w:themeColor="text1"/>
          <w:sz w:val="24"/>
          <w:szCs w:val="24"/>
          <w:lang w:eastAsia="en-GB"/>
        </w:rPr>
        <w:t xml:space="preserve"> or patient council members. NHS foundation trust governors can also be patient assessors.</w:t>
      </w:r>
    </w:p>
    <w:p w14:paraId="0D1041DC" w14:textId="42FC1E43" w:rsidR="00451304" w:rsidRPr="005C5DA3" w:rsidRDefault="00451304" w:rsidP="00C179BF">
      <w:pPr>
        <w:spacing w:before="100" w:beforeAutospacing="1" w:after="100" w:afterAutospacing="1" w:line="276" w:lineRule="auto"/>
        <w:rPr>
          <w:rFonts w:ascii="Arial" w:eastAsia="Times New Roman" w:hAnsi="Arial" w:cs="Arial"/>
          <w:color w:val="000000" w:themeColor="text1"/>
          <w:sz w:val="24"/>
          <w:szCs w:val="24"/>
          <w:lang w:eastAsia="en-GB"/>
        </w:rPr>
      </w:pPr>
      <w:r w:rsidRPr="005C5DA3">
        <w:rPr>
          <w:rFonts w:ascii="Arial" w:eastAsia="Times New Roman" w:hAnsi="Arial" w:cs="Arial"/>
          <w:color w:val="000000" w:themeColor="text1"/>
          <w:sz w:val="24"/>
          <w:szCs w:val="24"/>
          <w:lang w:eastAsia="en-GB"/>
        </w:rPr>
        <w:t xml:space="preserve">Staff working in a hospital cannot undertake assessments there as patient assessors, though they are able to act as patient assessors at hospitals in other NHS trusts or elsewhere. </w:t>
      </w:r>
      <w:r w:rsidR="00875B65" w:rsidRPr="005C5DA3">
        <w:rPr>
          <w:rFonts w:ascii="Arial" w:eastAsia="Times New Roman" w:hAnsi="Arial" w:cs="Arial"/>
          <w:color w:val="000000" w:themeColor="text1"/>
          <w:sz w:val="24"/>
          <w:szCs w:val="24"/>
          <w:lang w:eastAsia="en-GB"/>
        </w:rPr>
        <w:t>Similarly,</w:t>
      </w:r>
      <w:r w:rsidRPr="005C5DA3">
        <w:rPr>
          <w:rFonts w:ascii="Arial" w:eastAsia="Times New Roman" w:hAnsi="Arial" w:cs="Arial"/>
          <w:color w:val="000000" w:themeColor="text1"/>
          <w:sz w:val="24"/>
          <w:szCs w:val="24"/>
          <w:lang w:eastAsia="en-GB"/>
        </w:rPr>
        <w:t xml:space="preserve"> those who have recently left employment in a hospital/trust should not return as a patient assessor until a suitable period (normally two years) has elapsed.</w:t>
      </w:r>
    </w:p>
    <w:p w14:paraId="43BB5343" w14:textId="4CA5EDF6" w:rsidR="00451304" w:rsidRDefault="00451304" w:rsidP="00C179BF">
      <w:pPr>
        <w:spacing w:after="0" w:line="276" w:lineRule="auto"/>
        <w:rPr>
          <w:rFonts w:ascii="Arial" w:eastAsia="Times New Roman" w:hAnsi="Arial" w:cs="Arial"/>
          <w:color w:val="000000" w:themeColor="text1"/>
          <w:sz w:val="24"/>
          <w:szCs w:val="24"/>
          <w:lang w:eastAsia="en-GB"/>
        </w:rPr>
      </w:pPr>
      <w:r w:rsidRPr="005C5DA3">
        <w:rPr>
          <w:rFonts w:ascii="Arial" w:eastAsia="Times New Roman" w:hAnsi="Arial" w:cs="Arial"/>
          <w:color w:val="000000" w:themeColor="text1"/>
          <w:sz w:val="24"/>
          <w:szCs w:val="24"/>
          <w:lang w:eastAsia="en-GB"/>
        </w:rPr>
        <w:t>If you are interested in becoming a patient assessor</w:t>
      </w:r>
      <w:r w:rsidR="00875B65" w:rsidRPr="005C5DA3">
        <w:rPr>
          <w:rFonts w:ascii="Arial" w:eastAsia="Times New Roman" w:hAnsi="Arial" w:cs="Arial"/>
          <w:color w:val="000000" w:themeColor="text1"/>
          <w:sz w:val="24"/>
          <w:szCs w:val="24"/>
          <w:lang w:eastAsia="en-GB"/>
        </w:rPr>
        <w:t xml:space="preserve"> </w:t>
      </w:r>
      <w:r w:rsidR="00E03A60">
        <w:rPr>
          <w:rFonts w:ascii="Arial" w:eastAsia="Times New Roman" w:hAnsi="Arial" w:cs="Arial"/>
          <w:color w:val="000000" w:themeColor="text1"/>
          <w:sz w:val="24"/>
          <w:szCs w:val="24"/>
          <w:lang w:eastAsia="en-GB"/>
        </w:rPr>
        <w:t xml:space="preserve">volunteer </w:t>
      </w:r>
      <w:r w:rsidR="00875B65" w:rsidRPr="005C5DA3">
        <w:rPr>
          <w:rFonts w:ascii="Arial" w:eastAsia="Times New Roman" w:hAnsi="Arial" w:cs="Arial"/>
          <w:color w:val="000000" w:themeColor="text1"/>
          <w:sz w:val="24"/>
          <w:szCs w:val="24"/>
          <w:lang w:eastAsia="en-GB"/>
        </w:rPr>
        <w:t>and would like to support your local Trust with this year’s assessment</w:t>
      </w:r>
      <w:r w:rsidRPr="005C5DA3">
        <w:rPr>
          <w:rFonts w:ascii="Arial" w:eastAsia="Times New Roman" w:hAnsi="Arial" w:cs="Arial"/>
          <w:color w:val="000000" w:themeColor="text1"/>
          <w:sz w:val="24"/>
          <w:szCs w:val="24"/>
          <w:lang w:eastAsia="en-GB"/>
        </w:rPr>
        <w:t xml:space="preserve">, please contact your local Healthwatch group or </w:t>
      </w:r>
      <w:r w:rsidR="00785AB3" w:rsidRPr="005C5DA3">
        <w:rPr>
          <w:rFonts w:ascii="Arial" w:eastAsia="Times New Roman" w:hAnsi="Arial" w:cs="Arial"/>
          <w:color w:val="000000" w:themeColor="text1"/>
          <w:sz w:val="24"/>
          <w:szCs w:val="24"/>
          <w:lang w:eastAsia="en-GB"/>
        </w:rPr>
        <w:t>ELHT</w:t>
      </w:r>
      <w:r w:rsidR="00875B65" w:rsidRPr="005C5DA3">
        <w:rPr>
          <w:rFonts w:ascii="Arial" w:eastAsia="Times New Roman" w:hAnsi="Arial" w:cs="Arial"/>
          <w:color w:val="000000" w:themeColor="text1"/>
          <w:sz w:val="24"/>
          <w:szCs w:val="24"/>
          <w:lang w:eastAsia="en-GB"/>
        </w:rPr>
        <w:t xml:space="preserve"> PLACE Lead Lisa Grendall or Amy Jane </w:t>
      </w:r>
      <w:r w:rsidR="004562A6">
        <w:rPr>
          <w:rFonts w:ascii="Arial" w:eastAsia="Times New Roman" w:hAnsi="Arial" w:cs="Arial"/>
          <w:color w:val="000000" w:themeColor="text1"/>
          <w:sz w:val="24"/>
          <w:szCs w:val="24"/>
          <w:lang w:eastAsia="en-GB"/>
        </w:rPr>
        <w:t>Nesbitt</w:t>
      </w:r>
      <w:r w:rsidR="00875B65" w:rsidRPr="005C5DA3">
        <w:rPr>
          <w:rFonts w:ascii="Arial" w:eastAsia="Times New Roman" w:hAnsi="Arial" w:cs="Arial"/>
          <w:color w:val="000000" w:themeColor="text1"/>
          <w:sz w:val="24"/>
          <w:szCs w:val="24"/>
          <w:lang w:eastAsia="en-GB"/>
        </w:rPr>
        <w:t>, we look forward to working with you on this important annual assessment</w:t>
      </w:r>
      <w:r w:rsidRPr="005C5DA3">
        <w:rPr>
          <w:rFonts w:ascii="Arial" w:eastAsia="Times New Roman" w:hAnsi="Arial" w:cs="Arial"/>
          <w:color w:val="000000" w:themeColor="text1"/>
          <w:sz w:val="24"/>
          <w:szCs w:val="24"/>
          <w:lang w:eastAsia="en-GB"/>
        </w:rPr>
        <w:t>.</w:t>
      </w:r>
    </w:p>
    <w:p w14:paraId="7197AF5C" w14:textId="77777777" w:rsidR="00D17BA6" w:rsidRDefault="00D17BA6" w:rsidP="00C179BF">
      <w:pPr>
        <w:spacing w:after="0" w:line="276" w:lineRule="auto"/>
        <w:rPr>
          <w:rFonts w:ascii="Arial" w:eastAsia="Times New Roman" w:hAnsi="Arial" w:cs="Arial"/>
          <w:color w:val="000000" w:themeColor="text1"/>
          <w:sz w:val="24"/>
          <w:szCs w:val="24"/>
          <w:lang w:eastAsia="en-GB"/>
        </w:rPr>
      </w:pPr>
    </w:p>
    <w:p w14:paraId="28AE3292" w14:textId="43B1209F" w:rsidR="00D17BA6" w:rsidRPr="005C5DA3" w:rsidRDefault="00D17BA6" w:rsidP="00C179BF">
      <w:pPr>
        <w:spacing w:after="0" w:line="276"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Please also indicate which is your preferred training session you would like to attend. </w:t>
      </w:r>
    </w:p>
    <w:p w14:paraId="22FDD5A6" w14:textId="77777777" w:rsidR="005C5DA3" w:rsidRDefault="005C5DA3" w:rsidP="00C179BF">
      <w:pPr>
        <w:spacing w:after="0" w:line="276" w:lineRule="auto"/>
        <w:rPr>
          <w:rFonts w:ascii="Arial" w:eastAsia="Times New Roman" w:hAnsi="Arial" w:cs="Arial"/>
          <w:color w:val="3F525F"/>
          <w:sz w:val="27"/>
          <w:szCs w:val="27"/>
          <w:lang w:eastAsia="en-GB"/>
        </w:rPr>
      </w:pPr>
    </w:p>
    <w:p w14:paraId="433CA8FB" w14:textId="149F2FC1" w:rsidR="00E03A60" w:rsidRPr="00C179BF" w:rsidRDefault="00E03A60" w:rsidP="00C179BF">
      <w:pPr>
        <w:spacing w:after="0" w:line="276" w:lineRule="auto"/>
        <w:rPr>
          <w:rFonts w:ascii="Arial" w:eastAsia="Times New Roman" w:hAnsi="Arial" w:cs="Arial"/>
          <w:b/>
          <w:bCs/>
          <w:sz w:val="24"/>
          <w:szCs w:val="24"/>
          <w:lang w:eastAsia="en-GB"/>
        </w:rPr>
      </w:pPr>
      <w:r w:rsidRPr="00C179BF">
        <w:rPr>
          <w:rFonts w:ascii="Arial" w:eastAsia="Times New Roman" w:hAnsi="Arial" w:cs="Arial"/>
          <w:b/>
          <w:bCs/>
          <w:sz w:val="24"/>
          <w:szCs w:val="24"/>
          <w:lang w:eastAsia="en-GB"/>
        </w:rPr>
        <w:t>PLACE Development Sessions – PLACE Assessors</w:t>
      </w:r>
    </w:p>
    <w:p w14:paraId="06D611D2" w14:textId="77777777" w:rsidR="00E03A60" w:rsidRPr="00E03A60" w:rsidRDefault="00E03A60" w:rsidP="00C179BF">
      <w:pPr>
        <w:spacing w:after="0" w:line="276" w:lineRule="auto"/>
        <w:rPr>
          <w:rFonts w:ascii="Arial" w:eastAsia="Times New Roman" w:hAnsi="Arial" w:cs="Arial"/>
          <w:b/>
          <w:bCs/>
          <w:color w:val="3F525F"/>
          <w:sz w:val="27"/>
          <w:szCs w:val="27"/>
          <w:lang w:eastAsia="en-GB"/>
        </w:rPr>
      </w:pPr>
    </w:p>
    <w:p w14:paraId="197506D8" w14:textId="0F0F2EFF" w:rsidR="00D17BA6" w:rsidRDefault="005C5DA3" w:rsidP="00C179BF">
      <w:pPr>
        <w:spacing w:line="276" w:lineRule="auto"/>
        <w:rPr>
          <w:rFonts w:ascii="Arial" w:hAnsi="Arial" w:cs="Arial"/>
          <w:sz w:val="24"/>
          <w:szCs w:val="24"/>
        </w:rPr>
      </w:pPr>
      <w:r w:rsidRPr="005C5DA3">
        <w:rPr>
          <w:rFonts w:ascii="Arial" w:hAnsi="Arial" w:cs="Arial"/>
          <w:sz w:val="24"/>
          <w:szCs w:val="24"/>
        </w:rPr>
        <w:t xml:space="preserve">National PLACE Development sessions and guidance will be provided to support the Patient </w:t>
      </w:r>
      <w:r w:rsidR="004562A6">
        <w:rPr>
          <w:rFonts w:ascii="Arial" w:hAnsi="Arial" w:cs="Arial"/>
          <w:sz w:val="24"/>
          <w:szCs w:val="24"/>
        </w:rPr>
        <w:t xml:space="preserve">and staff </w:t>
      </w:r>
      <w:r w:rsidRPr="005C5DA3">
        <w:rPr>
          <w:rFonts w:ascii="Arial" w:hAnsi="Arial" w:cs="Arial"/>
          <w:sz w:val="24"/>
          <w:szCs w:val="24"/>
        </w:rPr>
        <w:t>Representatives by the Trust PLACE Lead</w:t>
      </w:r>
      <w:r w:rsidR="008E6804">
        <w:rPr>
          <w:rFonts w:ascii="Arial" w:hAnsi="Arial" w:cs="Arial"/>
          <w:sz w:val="24"/>
          <w:szCs w:val="24"/>
        </w:rPr>
        <w:t xml:space="preserve">, between </w:t>
      </w:r>
      <w:r w:rsidR="008E6804" w:rsidRPr="00C179BF">
        <w:rPr>
          <w:rFonts w:ascii="Arial" w:hAnsi="Arial" w:cs="Arial"/>
          <w:b/>
          <w:bCs/>
          <w:i/>
          <w:iCs/>
          <w:sz w:val="24"/>
          <w:szCs w:val="24"/>
        </w:rPr>
        <w:t>(</w:t>
      </w:r>
      <w:r w:rsidR="001B5454">
        <w:rPr>
          <w:rFonts w:ascii="Arial" w:hAnsi="Arial" w:cs="Arial"/>
          <w:b/>
          <w:bCs/>
          <w:i/>
          <w:iCs/>
          <w:sz w:val="24"/>
          <w:szCs w:val="24"/>
        </w:rPr>
        <w:t xml:space="preserve">August- September </w:t>
      </w:r>
      <w:r w:rsidR="008E6804" w:rsidRPr="00C179BF">
        <w:rPr>
          <w:rFonts w:ascii="Arial" w:hAnsi="Arial" w:cs="Arial"/>
          <w:b/>
          <w:bCs/>
          <w:i/>
          <w:iCs/>
          <w:sz w:val="24"/>
          <w:szCs w:val="24"/>
        </w:rPr>
        <w:t>202</w:t>
      </w:r>
      <w:r w:rsidR="001B5454">
        <w:rPr>
          <w:rFonts w:ascii="Arial" w:hAnsi="Arial" w:cs="Arial"/>
          <w:b/>
          <w:bCs/>
          <w:i/>
          <w:iCs/>
          <w:sz w:val="24"/>
          <w:szCs w:val="24"/>
        </w:rPr>
        <w:t>6</w:t>
      </w:r>
      <w:r w:rsidR="008E6804" w:rsidRPr="008E6804">
        <w:rPr>
          <w:rFonts w:ascii="Arial" w:hAnsi="Arial" w:cs="Arial"/>
          <w:i/>
          <w:iCs/>
          <w:sz w:val="24"/>
          <w:szCs w:val="24"/>
        </w:rPr>
        <w:t>)</w:t>
      </w:r>
      <w:r w:rsidRPr="005C5DA3">
        <w:rPr>
          <w:rFonts w:ascii="Arial" w:hAnsi="Arial" w:cs="Arial"/>
          <w:sz w:val="24"/>
          <w:szCs w:val="24"/>
        </w:rPr>
        <w:t xml:space="preserve">, </w:t>
      </w:r>
      <w:r w:rsidR="00E03A60">
        <w:rPr>
          <w:rFonts w:ascii="Arial" w:hAnsi="Arial" w:cs="Arial"/>
          <w:sz w:val="24"/>
          <w:szCs w:val="24"/>
        </w:rPr>
        <w:t>refer to the planned training sessions</w:t>
      </w:r>
      <w:r w:rsidR="00D17BA6">
        <w:rPr>
          <w:rFonts w:ascii="Arial" w:hAnsi="Arial" w:cs="Arial"/>
          <w:sz w:val="24"/>
          <w:szCs w:val="24"/>
        </w:rPr>
        <w:t>.</w:t>
      </w:r>
    </w:p>
    <w:p w14:paraId="77E4FC41" w14:textId="0AA1C0CB" w:rsidR="00E03A60" w:rsidRPr="00E03A60" w:rsidRDefault="00E03A60" w:rsidP="00C179BF">
      <w:pPr>
        <w:spacing w:line="276" w:lineRule="auto"/>
        <w:rPr>
          <w:rFonts w:ascii="Arial" w:hAnsi="Arial" w:cs="Arial"/>
          <w:b/>
          <w:bCs/>
          <w:sz w:val="24"/>
          <w:szCs w:val="24"/>
        </w:rPr>
      </w:pPr>
      <w:bookmarkStart w:id="0" w:name="_Hlk171497601"/>
      <w:r w:rsidRPr="00E03A60">
        <w:rPr>
          <w:rFonts w:ascii="Arial" w:hAnsi="Arial" w:cs="Arial"/>
          <w:b/>
          <w:bCs/>
          <w:sz w:val="24"/>
          <w:szCs w:val="24"/>
        </w:rPr>
        <w:t xml:space="preserve">PLACE Assessor Development Sessions – New </w:t>
      </w:r>
      <w:r>
        <w:rPr>
          <w:rFonts w:ascii="Arial" w:hAnsi="Arial" w:cs="Arial"/>
          <w:b/>
          <w:bCs/>
          <w:sz w:val="24"/>
          <w:szCs w:val="24"/>
        </w:rPr>
        <w:t xml:space="preserve">PLACE </w:t>
      </w:r>
      <w:r w:rsidRPr="00E03A60">
        <w:rPr>
          <w:rFonts w:ascii="Arial" w:hAnsi="Arial" w:cs="Arial"/>
          <w:b/>
          <w:bCs/>
          <w:sz w:val="24"/>
          <w:szCs w:val="24"/>
        </w:rPr>
        <w:t>Assessor</w:t>
      </w:r>
      <w:r>
        <w:rPr>
          <w:rFonts w:ascii="Arial" w:hAnsi="Arial" w:cs="Arial"/>
          <w:b/>
          <w:bCs/>
          <w:sz w:val="24"/>
          <w:szCs w:val="24"/>
        </w:rPr>
        <w:t xml:space="preserve"> </w:t>
      </w:r>
      <w:r w:rsidRPr="00E03A60">
        <w:rPr>
          <w:rFonts w:ascii="Arial" w:hAnsi="Arial" w:cs="Arial"/>
          <w:b/>
          <w:bCs/>
          <w:i/>
          <w:iCs/>
          <w:sz w:val="24"/>
          <w:szCs w:val="24"/>
        </w:rPr>
        <w:t>(3hr session)</w:t>
      </w:r>
    </w:p>
    <w:bookmarkEnd w:id="0"/>
    <w:p w14:paraId="0C750C3F" w14:textId="682E2D1F" w:rsidR="00B3560E" w:rsidRDefault="00B3560E" w:rsidP="00B3560E">
      <w:pPr>
        <w:spacing w:line="276" w:lineRule="auto"/>
        <w:rPr>
          <w:color w:val="FF0000"/>
        </w:rPr>
      </w:pPr>
    </w:p>
    <w:p w14:paraId="779EB873" w14:textId="1C3952CF" w:rsidR="005C5DA3" w:rsidRDefault="00E0192E" w:rsidP="00C179BF">
      <w:pPr>
        <w:spacing w:line="276" w:lineRule="auto"/>
        <w:rPr>
          <w:rFonts w:ascii="Arial" w:hAnsi="Arial" w:cs="Arial"/>
          <w:sz w:val="24"/>
          <w:szCs w:val="24"/>
        </w:rPr>
      </w:pPr>
      <w:r>
        <w:rPr>
          <w:rFonts w:ascii="Arial" w:hAnsi="Arial" w:cs="Arial"/>
          <w:noProof/>
          <w:sz w:val="24"/>
          <w:szCs w:val="24"/>
        </w:rPr>
        <w:drawing>
          <wp:inline distT="0" distB="0" distL="0" distR="0" wp14:anchorId="13B18676" wp14:editId="20E6211B">
            <wp:extent cx="5657850" cy="1295400"/>
            <wp:effectExtent l="0" t="0" r="0" b="0"/>
            <wp:docPr id="1535162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7850" cy="1295400"/>
                    </a:xfrm>
                    <a:prstGeom prst="rect">
                      <a:avLst/>
                    </a:prstGeom>
                    <a:noFill/>
                  </pic:spPr>
                </pic:pic>
              </a:graphicData>
            </a:graphic>
          </wp:inline>
        </w:drawing>
      </w:r>
    </w:p>
    <w:p w14:paraId="317E19A6" w14:textId="77777777" w:rsidR="00D17BA6" w:rsidRDefault="00D17BA6" w:rsidP="00C179BF">
      <w:pPr>
        <w:spacing w:line="276" w:lineRule="auto"/>
        <w:rPr>
          <w:rFonts w:ascii="Arial" w:hAnsi="Arial" w:cs="Arial"/>
          <w:sz w:val="24"/>
          <w:szCs w:val="24"/>
        </w:rPr>
      </w:pPr>
    </w:p>
    <w:p w14:paraId="13E3E268" w14:textId="77777777" w:rsidR="008F53AA" w:rsidRDefault="008F53AA" w:rsidP="00C179BF">
      <w:pPr>
        <w:spacing w:line="276" w:lineRule="auto"/>
        <w:rPr>
          <w:rFonts w:ascii="Arial" w:hAnsi="Arial" w:cs="Arial"/>
          <w:sz w:val="24"/>
          <w:szCs w:val="24"/>
        </w:rPr>
      </w:pPr>
    </w:p>
    <w:p w14:paraId="7EB3DED7" w14:textId="7D74DEA3" w:rsidR="00E03A60" w:rsidRDefault="00E03A60" w:rsidP="00C179BF">
      <w:pPr>
        <w:spacing w:line="276" w:lineRule="auto"/>
        <w:rPr>
          <w:rFonts w:ascii="Arial" w:hAnsi="Arial" w:cs="Arial"/>
          <w:b/>
          <w:bCs/>
          <w:i/>
          <w:iCs/>
          <w:sz w:val="24"/>
          <w:szCs w:val="24"/>
        </w:rPr>
      </w:pPr>
      <w:r w:rsidRPr="00E03A60">
        <w:rPr>
          <w:rFonts w:ascii="Arial" w:hAnsi="Arial" w:cs="Arial"/>
          <w:b/>
          <w:bCs/>
          <w:sz w:val="24"/>
          <w:szCs w:val="24"/>
        </w:rPr>
        <w:lastRenderedPageBreak/>
        <w:t xml:space="preserve">PLACE Assessor Development Sessions – </w:t>
      </w:r>
      <w:r>
        <w:rPr>
          <w:rFonts w:ascii="Arial" w:hAnsi="Arial" w:cs="Arial"/>
          <w:b/>
          <w:bCs/>
          <w:sz w:val="24"/>
          <w:szCs w:val="24"/>
        </w:rPr>
        <w:t>Experienced</w:t>
      </w:r>
      <w:r w:rsidRPr="00E03A60">
        <w:rPr>
          <w:rFonts w:ascii="Arial" w:hAnsi="Arial" w:cs="Arial"/>
          <w:b/>
          <w:bCs/>
          <w:sz w:val="24"/>
          <w:szCs w:val="24"/>
        </w:rPr>
        <w:t xml:space="preserve"> </w:t>
      </w:r>
      <w:r>
        <w:rPr>
          <w:rFonts w:ascii="Arial" w:hAnsi="Arial" w:cs="Arial"/>
          <w:b/>
          <w:bCs/>
          <w:sz w:val="24"/>
          <w:szCs w:val="24"/>
        </w:rPr>
        <w:t xml:space="preserve">PLACE </w:t>
      </w:r>
      <w:r w:rsidRPr="00E03A60">
        <w:rPr>
          <w:rFonts w:ascii="Arial" w:hAnsi="Arial" w:cs="Arial"/>
          <w:b/>
          <w:bCs/>
          <w:i/>
          <w:iCs/>
          <w:sz w:val="24"/>
          <w:szCs w:val="24"/>
        </w:rPr>
        <w:t>Assessor (1hr session)</w:t>
      </w:r>
    </w:p>
    <w:p w14:paraId="239A4E63" w14:textId="6CF7DDAD" w:rsidR="008F53AA" w:rsidRPr="00E03A60" w:rsidRDefault="00E0192E" w:rsidP="00C179BF">
      <w:pPr>
        <w:spacing w:line="276" w:lineRule="auto"/>
        <w:rPr>
          <w:rFonts w:ascii="Arial" w:hAnsi="Arial" w:cs="Arial"/>
          <w:b/>
          <w:bCs/>
          <w:i/>
          <w:iCs/>
          <w:sz w:val="24"/>
          <w:szCs w:val="24"/>
        </w:rPr>
      </w:pPr>
      <w:r>
        <w:rPr>
          <w:rFonts w:ascii="Arial" w:hAnsi="Arial" w:cs="Arial"/>
          <w:b/>
          <w:bCs/>
          <w:i/>
          <w:iCs/>
          <w:noProof/>
          <w:sz w:val="24"/>
          <w:szCs w:val="24"/>
        </w:rPr>
        <w:drawing>
          <wp:inline distT="0" distB="0" distL="0" distR="0" wp14:anchorId="1CBC53E9" wp14:editId="2EAD8991">
            <wp:extent cx="5715000" cy="1447800"/>
            <wp:effectExtent l="0" t="0" r="0" b="0"/>
            <wp:docPr id="1449200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447800"/>
                    </a:xfrm>
                    <a:prstGeom prst="rect">
                      <a:avLst/>
                    </a:prstGeom>
                    <a:noFill/>
                  </pic:spPr>
                </pic:pic>
              </a:graphicData>
            </a:graphic>
          </wp:inline>
        </w:drawing>
      </w:r>
    </w:p>
    <w:p w14:paraId="3D1F0D26" w14:textId="76161927" w:rsidR="00875B65" w:rsidRDefault="00875B65" w:rsidP="00C179BF">
      <w:pPr>
        <w:spacing w:line="276" w:lineRule="auto"/>
        <w:rPr>
          <w:rFonts w:ascii="Arial" w:hAnsi="Arial" w:cs="Arial"/>
          <w:b/>
          <w:bCs/>
        </w:rPr>
      </w:pPr>
      <w:r w:rsidRPr="00905B8D">
        <w:rPr>
          <w:rFonts w:ascii="Arial" w:hAnsi="Arial" w:cs="Arial"/>
          <w:b/>
          <w:bCs/>
        </w:rPr>
        <w:t>Trust Contact Details:</w:t>
      </w:r>
    </w:p>
    <w:p w14:paraId="7E3DD0F4" w14:textId="0A9255C7" w:rsidR="003146E4" w:rsidRDefault="003146E4" w:rsidP="00C179BF">
      <w:pPr>
        <w:spacing w:line="276" w:lineRule="auto"/>
        <w:rPr>
          <w:rFonts w:ascii="Arial" w:hAnsi="Arial" w:cs="Arial"/>
        </w:rPr>
      </w:pPr>
      <w:r>
        <w:rPr>
          <w:rFonts w:ascii="Arial" w:hAnsi="Arial" w:cs="Arial"/>
        </w:rPr>
        <w:t xml:space="preserve">Lisa Grendall – Associate Director of Facilities: </w:t>
      </w:r>
      <w:hyperlink r:id="rId7" w:history="1">
        <w:r w:rsidRPr="00810EBB">
          <w:rPr>
            <w:rStyle w:val="Hyperlink"/>
            <w:rFonts w:ascii="Arial" w:hAnsi="Arial" w:cs="Arial"/>
          </w:rPr>
          <w:t>lisa.grendall@elht.nhs.uk</w:t>
        </w:r>
      </w:hyperlink>
    </w:p>
    <w:p w14:paraId="06BD1E40" w14:textId="699E60B6" w:rsidR="00D0306F" w:rsidRDefault="00D0306F" w:rsidP="00C179BF">
      <w:pPr>
        <w:spacing w:line="276" w:lineRule="auto"/>
        <w:rPr>
          <w:rFonts w:ascii="Arial" w:hAnsi="Arial" w:cs="Arial"/>
        </w:rPr>
      </w:pPr>
      <w:r>
        <w:rPr>
          <w:rFonts w:ascii="Arial" w:hAnsi="Arial" w:cs="Arial"/>
          <w:b/>
          <w:bCs/>
        </w:rPr>
        <w:t xml:space="preserve">Supportive Documents – </w:t>
      </w:r>
      <w:r>
        <w:rPr>
          <w:rFonts w:ascii="Arial" w:hAnsi="Arial" w:cs="Arial"/>
        </w:rPr>
        <w:t xml:space="preserve">New documentation for 2026 has not been released at this point – please review national PLACE Assessment 2025 documentation link below for information and guidance. </w:t>
      </w:r>
    </w:p>
    <w:p w14:paraId="69167A79" w14:textId="3B3C3D39" w:rsidR="00D0306F" w:rsidRPr="00D0306F" w:rsidRDefault="00D0306F" w:rsidP="00C179BF">
      <w:pPr>
        <w:spacing w:line="276" w:lineRule="auto"/>
        <w:rPr>
          <w:rFonts w:ascii="Arial" w:hAnsi="Arial" w:cs="Arial"/>
        </w:rPr>
      </w:pPr>
      <w:hyperlink r:id="rId8" w:history="1">
        <w:r w:rsidRPr="00810EBB">
          <w:rPr>
            <w:rStyle w:val="Hyperlink"/>
            <w:rFonts w:ascii="Arial" w:hAnsi="Arial" w:cs="Arial"/>
          </w:rPr>
          <w:t>https://digital.nhs.uk/data-and-information/areas-of-interest/estates-and-facilities/patient-led-assessments-of-the-care-environment-place</w:t>
        </w:r>
      </w:hyperlink>
      <w:r>
        <w:rPr>
          <w:rFonts w:ascii="Arial" w:hAnsi="Arial" w:cs="Arial"/>
        </w:rPr>
        <w:t xml:space="preserve"> </w:t>
      </w:r>
    </w:p>
    <w:p w14:paraId="0883FC57" w14:textId="77777777" w:rsidR="00D0306F" w:rsidRDefault="00D0306F" w:rsidP="00D86C84">
      <w:pPr>
        <w:spacing w:line="276" w:lineRule="auto"/>
        <w:rPr>
          <w:noProof/>
        </w:rPr>
      </w:pPr>
    </w:p>
    <w:p w14:paraId="5587310D" w14:textId="29FA886A" w:rsidR="00D86C84" w:rsidRDefault="00D86C84" w:rsidP="00D86C84">
      <w:pPr>
        <w:spacing w:line="276" w:lineRule="auto"/>
      </w:pPr>
    </w:p>
    <w:p w14:paraId="2778F6D9" w14:textId="77777777" w:rsidR="00D86C84" w:rsidRDefault="00D86C84" w:rsidP="00D86C84">
      <w:pPr>
        <w:spacing w:line="276" w:lineRule="auto"/>
      </w:pPr>
    </w:p>
    <w:sectPr w:rsidR="00D86C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236CF"/>
    <w:multiLevelType w:val="hybridMultilevel"/>
    <w:tmpl w:val="C8644E80"/>
    <w:lvl w:ilvl="0" w:tplc="0232A8F0">
      <w:start w:val="1"/>
      <w:numFmt w:val="bullet"/>
      <w:lvlText w:val=""/>
      <w:lvlJc w:val="left"/>
      <w:pPr>
        <w:tabs>
          <w:tab w:val="num" w:pos="720"/>
        </w:tabs>
        <w:ind w:left="720" w:hanging="360"/>
      </w:pPr>
      <w:rPr>
        <w:rFonts w:ascii="Wingdings" w:hAnsi="Wingdings" w:hint="default"/>
      </w:rPr>
    </w:lvl>
    <w:lvl w:ilvl="1" w:tplc="96DCEAC8" w:tentative="1">
      <w:start w:val="1"/>
      <w:numFmt w:val="bullet"/>
      <w:lvlText w:val=""/>
      <w:lvlJc w:val="left"/>
      <w:pPr>
        <w:tabs>
          <w:tab w:val="num" w:pos="1440"/>
        </w:tabs>
        <w:ind w:left="1440" w:hanging="360"/>
      </w:pPr>
      <w:rPr>
        <w:rFonts w:ascii="Wingdings" w:hAnsi="Wingdings" w:hint="default"/>
      </w:rPr>
    </w:lvl>
    <w:lvl w:ilvl="2" w:tplc="8090A26A" w:tentative="1">
      <w:start w:val="1"/>
      <w:numFmt w:val="bullet"/>
      <w:lvlText w:val=""/>
      <w:lvlJc w:val="left"/>
      <w:pPr>
        <w:tabs>
          <w:tab w:val="num" w:pos="2160"/>
        </w:tabs>
        <w:ind w:left="2160" w:hanging="360"/>
      </w:pPr>
      <w:rPr>
        <w:rFonts w:ascii="Wingdings" w:hAnsi="Wingdings" w:hint="default"/>
      </w:rPr>
    </w:lvl>
    <w:lvl w:ilvl="3" w:tplc="6314508A" w:tentative="1">
      <w:start w:val="1"/>
      <w:numFmt w:val="bullet"/>
      <w:lvlText w:val=""/>
      <w:lvlJc w:val="left"/>
      <w:pPr>
        <w:tabs>
          <w:tab w:val="num" w:pos="2880"/>
        </w:tabs>
        <w:ind w:left="2880" w:hanging="360"/>
      </w:pPr>
      <w:rPr>
        <w:rFonts w:ascii="Wingdings" w:hAnsi="Wingdings" w:hint="default"/>
      </w:rPr>
    </w:lvl>
    <w:lvl w:ilvl="4" w:tplc="409CECBE" w:tentative="1">
      <w:start w:val="1"/>
      <w:numFmt w:val="bullet"/>
      <w:lvlText w:val=""/>
      <w:lvlJc w:val="left"/>
      <w:pPr>
        <w:tabs>
          <w:tab w:val="num" w:pos="3600"/>
        </w:tabs>
        <w:ind w:left="3600" w:hanging="360"/>
      </w:pPr>
      <w:rPr>
        <w:rFonts w:ascii="Wingdings" w:hAnsi="Wingdings" w:hint="default"/>
      </w:rPr>
    </w:lvl>
    <w:lvl w:ilvl="5" w:tplc="C45EFB7A" w:tentative="1">
      <w:start w:val="1"/>
      <w:numFmt w:val="bullet"/>
      <w:lvlText w:val=""/>
      <w:lvlJc w:val="left"/>
      <w:pPr>
        <w:tabs>
          <w:tab w:val="num" w:pos="4320"/>
        </w:tabs>
        <w:ind w:left="4320" w:hanging="360"/>
      </w:pPr>
      <w:rPr>
        <w:rFonts w:ascii="Wingdings" w:hAnsi="Wingdings" w:hint="default"/>
      </w:rPr>
    </w:lvl>
    <w:lvl w:ilvl="6" w:tplc="40DA7B38" w:tentative="1">
      <w:start w:val="1"/>
      <w:numFmt w:val="bullet"/>
      <w:lvlText w:val=""/>
      <w:lvlJc w:val="left"/>
      <w:pPr>
        <w:tabs>
          <w:tab w:val="num" w:pos="5040"/>
        </w:tabs>
        <w:ind w:left="5040" w:hanging="360"/>
      </w:pPr>
      <w:rPr>
        <w:rFonts w:ascii="Wingdings" w:hAnsi="Wingdings" w:hint="default"/>
      </w:rPr>
    </w:lvl>
    <w:lvl w:ilvl="7" w:tplc="92EE4ABC" w:tentative="1">
      <w:start w:val="1"/>
      <w:numFmt w:val="bullet"/>
      <w:lvlText w:val=""/>
      <w:lvlJc w:val="left"/>
      <w:pPr>
        <w:tabs>
          <w:tab w:val="num" w:pos="5760"/>
        </w:tabs>
        <w:ind w:left="5760" w:hanging="360"/>
      </w:pPr>
      <w:rPr>
        <w:rFonts w:ascii="Wingdings" w:hAnsi="Wingdings" w:hint="default"/>
      </w:rPr>
    </w:lvl>
    <w:lvl w:ilvl="8" w:tplc="868E94F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644E5E"/>
    <w:multiLevelType w:val="hybridMultilevel"/>
    <w:tmpl w:val="848E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92319A"/>
    <w:multiLevelType w:val="hybridMultilevel"/>
    <w:tmpl w:val="25C0BB2E"/>
    <w:lvl w:ilvl="0" w:tplc="78C21372">
      <w:start w:val="1"/>
      <w:numFmt w:val="bullet"/>
      <w:lvlText w:val=""/>
      <w:lvlJc w:val="left"/>
      <w:pPr>
        <w:tabs>
          <w:tab w:val="num" w:pos="720"/>
        </w:tabs>
        <w:ind w:left="720" w:hanging="360"/>
      </w:pPr>
      <w:rPr>
        <w:rFonts w:ascii="Wingdings" w:hAnsi="Wingdings" w:hint="default"/>
      </w:rPr>
    </w:lvl>
    <w:lvl w:ilvl="1" w:tplc="3AE253C6" w:tentative="1">
      <w:start w:val="1"/>
      <w:numFmt w:val="bullet"/>
      <w:lvlText w:val=""/>
      <w:lvlJc w:val="left"/>
      <w:pPr>
        <w:tabs>
          <w:tab w:val="num" w:pos="1440"/>
        </w:tabs>
        <w:ind w:left="1440" w:hanging="360"/>
      </w:pPr>
      <w:rPr>
        <w:rFonts w:ascii="Wingdings" w:hAnsi="Wingdings" w:hint="default"/>
      </w:rPr>
    </w:lvl>
    <w:lvl w:ilvl="2" w:tplc="6C82152C" w:tentative="1">
      <w:start w:val="1"/>
      <w:numFmt w:val="bullet"/>
      <w:lvlText w:val=""/>
      <w:lvlJc w:val="left"/>
      <w:pPr>
        <w:tabs>
          <w:tab w:val="num" w:pos="2160"/>
        </w:tabs>
        <w:ind w:left="2160" w:hanging="360"/>
      </w:pPr>
      <w:rPr>
        <w:rFonts w:ascii="Wingdings" w:hAnsi="Wingdings" w:hint="default"/>
      </w:rPr>
    </w:lvl>
    <w:lvl w:ilvl="3" w:tplc="9E8044F8" w:tentative="1">
      <w:start w:val="1"/>
      <w:numFmt w:val="bullet"/>
      <w:lvlText w:val=""/>
      <w:lvlJc w:val="left"/>
      <w:pPr>
        <w:tabs>
          <w:tab w:val="num" w:pos="2880"/>
        </w:tabs>
        <w:ind w:left="2880" w:hanging="360"/>
      </w:pPr>
      <w:rPr>
        <w:rFonts w:ascii="Wingdings" w:hAnsi="Wingdings" w:hint="default"/>
      </w:rPr>
    </w:lvl>
    <w:lvl w:ilvl="4" w:tplc="3DF8C54C" w:tentative="1">
      <w:start w:val="1"/>
      <w:numFmt w:val="bullet"/>
      <w:lvlText w:val=""/>
      <w:lvlJc w:val="left"/>
      <w:pPr>
        <w:tabs>
          <w:tab w:val="num" w:pos="3600"/>
        </w:tabs>
        <w:ind w:left="3600" w:hanging="360"/>
      </w:pPr>
      <w:rPr>
        <w:rFonts w:ascii="Wingdings" w:hAnsi="Wingdings" w:hint="default"/>
      </w:rPr>
    </w:lvl>
    <w:lvl w:ilvl="5" w:tplc="6CFA424E" w:tentative="1">
      <w:start w:val="1"/>
      <w:numFmt w:val="bullet"/>
      <w:lvlText w:val=""/>
      <w:lvlJc w:val="left"/>
      <w:pPr>
        <w:tabs>
          <w:tab w:val="num" w:pos="4320"/>
        </w:tabs>
        <w:ind w:left="4320" w:hanging="360"/>
      </w:pPr>
      <w:rPr>
        <w:rFonts w:ascii="Wingdings" w:hAnsi="Wingdings" w:hint="default"/>
      </w:rPr>
    </w:lvl>
    <w:lvl w:ilvl="6" w:tplc="2A1261CC" w:tentative="1">
      <w:start w:val="1"/>
      <w:numFmt w:val="bullet"/>
      <w:lvlText w:val=""/>
      <w:lvlJc w:val="left"/>
      <w:pPr>
        <w:tabs>
          <w:tab w:val="num" w:pos="5040"/>
        </w:tabs>
        <w:ind w:left="5040" w:hanging="360"/>
      </w:pPr>
      <w:rPr>
        <w:rFonts w:ascii="Wingdings" w:hAnsi="Wingdings" w:hint="default"/>
      </w:rPr>
    </w:lvl>
    <w:lvl w:ilvl="7" w:tplc="47A88B6E" w:tentative="1">
      <w:start w:val="1"/>
      <w:numFmt w:val="bullet"/>
      <w:lvlText w:val=""/>
      <w:lvlJc w:val="left"/>
      <w:pPr>
        <w:tabs>
          <w:tab w:val="num" w:pos="5760"/>
        </w:tabs>
        <w:ind w:left="5760" w:hanging="360"/>
      </w:pPr>
      <w:rPr>
        <w:rFonts w:ascii="Wingdings" w:hAnsi="Wingdings" w:hint="default"/>
      </w:rPr>
    </w:lvl>
    <w:lvl w:ilvl="8" w:tplc="64C2E86E" w:tentative="1">
      <w:start w:val="1"/>
      <w:numFmt w:val="bullet"/>
      <w:lvlText w:val=""/>
      <w:lvlJc w:val="left"/>
      <w:pPr>
        <w:tabs>
          <w:tab w:val="num" w:pos="6480"/>
        </w:tabs>
        <w:ind w:left="6480" w:hanging="360"/>
      </w:pPr>
      <w:rPr>
        <w:rFonts w:ascii="Wingdings" w:hAnsi="Wingdings" w:hint="default"/>
      </w:rPr>
    </w:lvl>
  </w:abstractNum>
  <w:num w:numId="1" w16cid:durableId="285746555">
    <w:abstractNumId w:val="1"/>
  </w:num>
  <w:num w:numId="2" w16cid:durableId="1473595390">
    <w:abstractNumId w:val="2"/>
  </w:num>
  <w:num w:numId="3" w16cid:durableId="64994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04"/>
    <w:rsid w:val="001466FB"/>
    <w:rsid w:val="001B5454"/>
    <w:rsid w:val="0023294B"/>
    <w:rsid w:val="003146E4"/>
    <w:rsid w:val="00451304"/>
    <w:rsid w:val="004562A6"/>
    <w:rsid w:val="005034E5"/>
    <w:rsid w:val="005C5DA3"/>
    <w:rsid w:val="005D0695"/>
    <w:rsid w:val="00785AB3"/>
    <w:rsid w:val="00820251"/>
    <w:rsid w:val="00875B65"/>
    <w:rsid w:val="008C10C4"/>
    <w:rsid w:val="008E6804"/>
    <w:rsid w:val="008F53AA"/>
    <w:rsid w:val="00905B8D"/>
    <w:rsid w:val="00A1079B"/>
    <w:rsid w:val="00B3560E"/>
    <w:rsid w:val="00B7520C"/>
    <w:rsid w:val="00B8563B"/>
    <w:rsid w:val="00BD261A"/>
    <w:rsid w:val="00C179BF"/>
    <w:rsid w:val="00D0306F"/>
    <w:rsid w:val="00D17BA6"/>
    <w:rsid w:val="00D86C84"/>
    <w:rsid w:val="00DD2331"/>
    <w:rsid w:val="00DE7245"/>
    <w:rsid w:val="00E0192E"/>
    <w:rsid w:val="00E03A60"/>
    <w:rsid w:val="00F35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D192"/>
  <w15:chartTrackingRefBased/>
  <w15:docId w15:val="{B932A4E1-609A-41D6-9A5C-D98A936A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B65"/>
    <w:pPr>
      <w:ind w:left="720"/>
      <w:contextualSpacing/>
    </w:pPr>
  </w:style>
  <w:style w:type="character" w:styleId="Hyperlink">
    <w:name w:val="Hyperlink"/>
    <w:basedOn w:val="DefaultParagraphFont"/>
    <w:uiPriority w:val="99"/>
    <w:unhideWhenUsed/>
    <w:rsid w:val="00875B65"/>
    <w:rPr>
      <w:color w:val="0563C1" w:themeColor="hyperlink"/>
      <w:u w:val="single"/>
    </w:rPr>
  </w:style>
  <w:style w:type="character" w:styleId="UnresolvedMention">
    <w:name w:val="Unresolved Mention"/>
    <w:basedOn w:val="DefaultParagraphFont"/>
    <w:uiPriority w:val="99"/>
    <w:semiHidden/>
    <w:unhideWhenUsed/>
    <w:rsid w:val="00875B65"/>
    <w:rPr>
      <w:color w:val="605E5C"/>
      <w:shd w:val="clear" w:color="auto" w:fill="E1DFDD"/>
    </w:rPr>
  </w:style>
  <w:style w:type="paragraph" w:styleId="BodyText2">
    <w:name w:val="Body Text 2"/>
    <w:basedOn w:val="BodyText"/>
    <w:link w:val="BodyText2Char"/>
    <w:qFormat/>
    <w:rsid w:val="004562A6"/>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4562A6"/>
    <w:rPr>
      <w:rFonts w:ascii="Arial" w:hAnsi="Arial"/>
      <w:color w:val="231F20"/>
      <w:sz w:val="24"/>
      <w:szCs w:val="24"/>
    </w:rPr>
  </w:style>
  <w:style w:type="paragraph" w:styleId="BodyText">
    <w:name w:val="Body Text"/>
    <w:basedOn w:val="Normal"/>
    <w:link w:val="BodyTextChar"/>
    <w:uiPriority w:val="99"/>
    <w:semiHidden/>
    <w:unhideWhenUsed/>
    <w:rsid w:val="004562A6"/>
    <w:pPr>
      <w:spacing w:after="120"/>
    </w:pPr>
  </w:style>
  <w:style w:type="character" w:customStyle="1" w:styleId="BodyTextChar">
    <w:name w:val="Body Text Char"/>
    <w:basedOn w:val="DefaultParagraphFont"/>
    <w:link w:val="BodyText"/>
    <w:uiPriority w:val="99"/>
    <w:semiHidden/>
    <w:rsid w:val="004562A6"/>
  </w:style>
  <w:style w:type="table" w:styleId="TableGrid">
    <w:name w:val="Table Grid"/>
    <w:basedOn w:val="TableNormal"/>
    <w:uiPriority w:val="39"/>
    <w:rsid w:val="00E03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8437">
      <w:bodyDiv w:val="1"/>
      <w:marLeft w:val="0"/>
      <w:marRight w:val="0"/>
      <w:marTop w:val="0"/>
      <w:marBottom w:val="0"/>
      <w:divBdr>
        <w:top w:val="none" w:sz="0" w:space="0" w:color="auto"/>
        <w:left w:val="none" w:sz="0" w:space="0" w:color="auto"/>
        <w:bottom w:val="none" w:sz="0" w:space="0" w:color="auto"/>
        <w:right w:val="none" w:sz="0" w:space="0" w:color="auto"/>
      </w:divBdr>
      <w:divsChild>
        <w:div w:id="1536893355">
          <w:marLeft w:val="547"/>
          <w:marRight w:val="0"/>
          <w:marTop w:val="0"/>
          <w:marBottom w:val="0"/>
          <w:divBdr>
            <w:top w:val="none" w:sz="0" w:space="0" w:color="auto"/>
            <w:left w:val="none" w:sz="0" w:space="0" w:color="auto"/>
            <w:bottom w:val="none" w:sz="0" w:space="0" w:color="auto"/>
            <w:right w:val="none" w:sz="0" w:space="0" w:color="auto"/>
          </w:divBdr>
        </w:div>
        <w:div w:id="1484082890">
          <w:marLeft w:val="547"/>
          <w:marRight w:val="0"/>
          <w:marTop w:val="0"/>
          <w:marBottom w:val="0"/>
          <w:divBdr>
            <w:top w:val="none" w:sz="0" w:space="0" w:color="auto"/>
            <w:left w:val="none" w:sz="0" w:space="0" w:color="auto"/>
            <w:bottom w:val="none" w:sz="0" w:space="0" w:color="auto"/>
            <w:right w:val="none" w:sz="0" w:space="0" w:color="auto"/>
          </w:divBdr>
        </w:div>
        <w:div w:id="445151035">
          <w:marLeft w:val="547"/>
          <w:marRight w:val="0"/>
          <w:marTop w:val="0"/>
          <w:marBottom w:val="0"/>
          <w:divBdr>
            <w:top w:val="none" w:sz="0" w:space="0" w:color="auto"/>
            <w:left w:val="none" w:sz="0" w:space="0" w:color="auto"/>
            <w:bottom w:val="none" w:sz="0" w:space="0" w:color="auto"/>
            <w:right w:val="none" w:sz="0" w:space="0" w:color="auto"/>
          </w:divBdr>
        </w:div>
        <w:div w:id="1513641561">
          <w:marLeft w:val="547"/>
          <w:marRight w:val="0"/>
          <w:marTop w:val="0"/>
          <w:marBottom w:val="200"/>
          <w:divBdr>
            <w:top w:val="none" w:sz="0" w:space="0" w:color="auto"/>
            <w:left w:val="none" w:sz="0" w:space="0" w:color="auto"/>
            <w:bottom w:val="none" w:sz="0" w:space="0" w:color="auto"/>
            <w:right w:val="none" w:sz="0" w:space="0" w:color="auto"/>
          </w:divBdr>
        </w:div>
        <w:div w:id="1084836885">
          <w:marLeft w:val="547"/>
          <w:marRight w:val="0"/>
          <w:marTop w:val="0"/>
          <w:marBottom w:val="0"/>
          <w:divBdr>
            <w:top w:val="none" w:sz="0" w:space="0" w:color="auto"/>
            <w:left w:val="none" w:sz="0" w:space="0" w:color="auto"/>
            <w:bottom w:val="none" w:sz="0" w:space="0" w:color="auto"/>
            <w:right w:val="none" w:sz="0" w:space="0" w:color="auto"/>
          </w:divBdr>
        </w:div>
        <w:div w:id="1564413261">
          <w:marLeft w:val="547"/>
          <w:marRight w:val="0"/>
          <w:marTop w:val="0"/>
          <w:marBottom w:val="0"/>
          <w:divBdr>
            <w:top w:val="none" w:sz="0" w:space="0" w:color="auto"/>
            <w:left w:val="none" w:sz="0" w:space="0" w:color="auto"/>
            <w:bottom w:val="none" w:sz="0" w:space="0" w:color="auto"/>
            <w:right w:val="none" w:sz="0" w:space="0" w:color="auto"/>
          </w:divBdr>
        </w:div>
        <w:div w:id="1560630533">
          <w:marLeft w:val="547"/>
          <w:marRight w:val="0"/>
          <w:marTop w:val="0"/>
          <w:marBottom w:val="0"/>
          <w:divBdr>
            <w:top w:val="none" w:sz="0" w:space="0" w:color="auto"/>
            <w:left w:val="none" w:sz="0" w:space="0" w:color="auto"/>
            <w:bottom w:val="none" w:sz="0" w:space="0" w:color="auto"/>
            <w:right w:val="none" w:sz="0" w:space="0" w:color="auto"/>
          </w:divBdr>
        </w:div>
        <w:div w:id="1174145869">
          <w:marLeft w:val="547"/>
          <w:marRight w:val="0"/>
          <w:marTop w:val="0"/>
          <w:marBottom w:val="0"/>
          <w:divBdr>
            <w:top w:val="none" w:sz="0" w:space="0" w:color="auto"/>
            <w:left w:val="none" w:sz="0" w:space="0" w:color="auto"/>
            <w:bottom w:val="none" w:sz="0" w:space="0" w:color="auto"/>
            <w:right w:val="none" w:sz="0" w:space="0" w:color="auto"/>
          </w:divBdr>
        </w:div>
        <w:div w:id="1323778044">
          <w:marLeft w:val="547"/>
          <w:marRight w:val="0"/>
          <w:marTop w:val="0"/>
          <w:marBottom w:val="0"/>
          <w:divBdr>
            <w:top w:val="none" w:sz="0" w:space="0" w:color="auto"/>
            <w:left w:val="none" w:sz="0" w:space="0" w:color="auto"/>
            <w:bottom w:val="none" w:sz="0" w:space="0" w:color="auto"/>
            <w:right w:val="none" w:sz="0" w:space="0" w:color="auto"/>
          </w:divBdr>
        </w:div>
        <w:div w:id="1475952458">
          <w:marLeft w:val="547"/>
          <w:marRight w:val="0"/>
          <w:marTop w:val="0"/>
          <w:marBottom w:val="200"/>
          <w:divBdr>
            <w:top w:val="none" w:sz="0" w:space="0" w:color="auto"/>
            <w:left w:val="none" w:sz="0" w:space="0" w:color="auto"/>
            <w:bottom w:val="none" w:sz="0" w:space="0" w:color="auto"/>
            <w:right w:val="none" w:sz="0" w:space="0" w:color="auto"/>
          </w:divBdr>
        </w:div>
      </w:divsChild>
    </w:div>
    <w:div w:id="1215968640">
      <w:bodyDiv w:val="1"/>
      <w:marLeft w:val="0"/>
      <w:marRight w:val="0"/>
      <w:marTop w:val="0"/>
      <w:marBottom w:val="0"/>
      <w:divBdr>
        <w:top w:val="none" w:sz="0" w:space="0" w:color="auto"/>
        <w:left w:val="none" w:sz="0" w:space="0" w:color="auto"/>
        <w:bottom w:val="none" w:sz="0" w:space="0" w:color="auto"/>
        <w:right w:val="none" w:sz="0" w:space="0" w:color="auto"/>
      </w:divBdr>
      <w:divsChild>
        <w:div w:id="771783473">
          <w:marLeft w:val="0"/>
          <w:marRight w:val="0"/>
          <w:marTop w:val="0"/>
          <w:marBottom w:val="0"/>
          <w:divBdr>
            <w:top w:val="none" w:sz="0" w:space="0" w:color="auto"/>
            <w:left w:val="none" w:sz="0" w:space="0" w:color="auto"/>
            <w:bottom w:val="none" w:sz="0" w:space="0" w:color="auto"/>
            <w:right w:val="none" w:sz="0" w:space="0" w:color="auto"/>
          </w:divBdr>
          <w:divsChild>
            <w:div w:id="1179462550">
              <w:marLeft w:val="0"/>
              <w:marRight w:val="0"/>
              <w:marTop w:val="0"/>
              <w:marBottom w:val="0"/>
              <w:divBdr>
                <w:top w:val="none" w:sz="0" w:space="0" w:color="auto"/>
                <w:left w:val="none" w:sz="0" w:space="0" w:color="auto"/>
                <w:bottom w:val="none" w:sz="0" w:space="0" w:color="auto"/>
                <w:right w:val="none" w:sz="0" w:space="0" w:color="auto"/>
              </w:divBdr>
            </w:div>
          </w:divsChild>
        </w:div>
        <w:div w:id="632104311">
          <w:marLeft w:val="0"/>
          <w:marRight w:val="0"/>
          <w:marTop w:val="0"/>
          <w:marBottom w:val="0"/>
          <w:divBdr>
            <w:top w:val="none" w:sz="0" w:space="0" w:color="auto"/>
            <w:left w:val="none" w:sz="0" w:space="0" w:color="auto"/>
            <w:bottom w:val="none" w:sz="0" w:space="0" w:color="auto"/>
            <w:right w:val="none" w:sz="0" w:space="0" w:color="auto"/>
          </w:divBdr>
          <w:divsChild>
            <w:div w:id="9759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83916">
      <w:bodyDiv w:val="1"/>
      <w:marLeft w:val="0"/>
      <w:marRight w:val="0"/>
      <w:marTop w:val="0"/>
      <w:marBottom w:val="0"/>
      <w:divBdr>
        <w:top w:val="none" w:sz="0" w:space="0" w:color="auto"/>
        <w:left w:val="none" w:sz="0" w:space="0" w:color="auto"/>
        <w:bottom w:val="none" w:sz="0" w:space="0" w:color="auto"/>
        <w:right w:val="none" w:sz="0" w:space="0" w:color="auto"/>
      </w:divBdr>
    </w:div>
    <w:div w:id="2098017655">
      <w:bodyDiv w:val="1"/>
      <w:marLeft w:val="0"/>
      <w:marRight w:val="0"/>
      <w:marTop w:val="0"/>
      <w:marBottom w:val="0"/>
      <w:divBdr>
        <w:top w:val="none" w:sz="0" w:space="0" w:color="auto"/>
        <w:left w:val="none" w:sz="0" w:space="0" w:color="auto"/>
        <w:bottom w:val="none" w:sz="0" w:space="0" w:color="auto"/>
        <w:right w:val="none" w:sz="0" w:space="0" w:color="auto"/>
      </w:divBdr>
      <w:divsChild>
        <w:div w:id="255404118">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estates-and-facilities/patient-led-assessments-of-the-care-environment-place" TargetMode="External"/><Relationship Id="rId3" Type="http://schemas.openxmlformats.org/officeDocument/2006/relationships/settings" Target="settings.xml"/><Relationship Id="rId7" Type="http://schemas.openxmlformats.org/officeDocument/2006/relationships/hyperlink" Target="mailto:lisa.grendall@elht.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662</Words>
  <Characters>3616</Characters>
  <Application>Microsoft Office Word</Application>
  <DocSecurity>0</DocSecurity>
  <Lines>84</Lines>
  <Paragraphs>42</Paragraphs>
  <ScaleCrop>false</ScaleCrop>
  <HeadingPairs>
    <vt:vector size="2" baseType="variant">
      <vt:variant>
        <vt:lpstr>Title</vt:lpstr>
      </vt:variant>
      <vt:variant>
        <vt:i4>1</vt:i4>
      </vt:variant>
    </vt:vector>
  </HeadingPairs>
  <TitlesOfParts>
    <vt:vector size="1" baseType="lpstr">
      <vt:lpstr/>
    </vt:vector>
  </TitlesOfParts>
  <Company>East Lancs Hospitals NHS Trust</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Grendall Lisa (ELHT) Estates &amp; Facilities</dc:creator>
  <cp:keywords/>
  <dc:description/>
  <cp:lastModifiedBy>Kala Sufiyan (ELHT) Procurement</cp:lastModifiedBy>
  <cp:revision>3</cp:revision>
  <dcterms:created xsi:type="dcterms:W3CDTF">2026-07-22T11:47:00Z</dcterms:created>
  <dcterms:modified xsi:type="dcterms:W3CDTF">2026-07-23T08:58:00Z</dcterms:modified>
</cp:coreProperties>
</file>